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Agency contract compliance clauses</w:t>
      </w:r>
    </w:p>
    <w:p>
      <w:r>
        <w:t>Clauses to add to digital, social and media agency contracts so responsibility and incentives match the NMC guidelines.</w:t>
      </w:r>
    </w:p>
    <w:p>
      <w:r>
        <w:rPr>
          <w:i/>
          <w:color w:val="8A6A35"/>
        </w:rPr>
        <w:t>Note: The NMC guidelines make clear that using an agency does not move responsibility away from the doctor or hospital. Have legal adapt these clauses.</w:t>
      </w:r>
    </w:p>
    <w:p>
      <w:pPr>
        <w:pStyle w:val="Heading2"/>
      </w:pPr>
      <w:r>
        <w:t>Clauses</w:t>
      </w:r>
    </w:p>
    <w:p>
      <w:r>
        <w:t>1. Compliance. The Agency shall ensure all content and campaigns comply with the NMC Guidelines on Ethical Advertising and Public Communication (6 October 2026), the Drugs and Magic Remedies (Objectionable Advertisements) Act, 1954, the Consumer Protection Act, 2019 and its guidelines, the ASCI Code, the DPDP Act, 2023 and platform policies.</w:t>
      </w:r>
    </w:p>
    <w:p>
      <w:r>
        <w:t>2. Approval. No content shall go live without written approval from [marketing] and clinical sign-off from [medical reviewer]. The Agency shall keep a record of approvals.</w:t>
      </w:r>
    </w:p>
    <w:p>
      <w:r>
        <w:t>3. Prohibited content. The Agency shall not create or publish patient testimonials, review requests, before-and-after images, discounts or offers used as inducements, superlatives or guarantees, or AI-generated promotional campaigns.</w:t>
      </w:r>
    </w:p>
    <w:p>
      <w:r>
        <w:t>4. Fees. Fees are fixed or based on agreed deliverables. No fee, bonus or incentive shall be linked to the number of patients, leads, enquiries or bookings procured.</w:t>
      </w:r>
    </w:p>
    <w:p>
      <w:r>
        <w:t>5. Reviews and followers. The Agency shall not buy, solicit or manipulate reviews, ratings, followers or search rankings.</w:t>
      </w:r>
    </w:p>
    <w:p>
      <w:r>
        <w:t>6. Data. The Agency shall process personal data only as instructed, under the DPDP Act, and shall not use patient data for targeting without valid consent.</w:t>
      </w:r>
    </w:p>
    <w:p>
      <w:r>
        <w:t>7. AI. Any AI-assisted content shall be labelled and disclosed to [hospital name] before approval.</w:t>
      </w:r>
    </w:p>
    <w:p>
      <w:r>
        <w:t>8. Takedown. On notice from [hospital name], the Agency shall remove or edit content within [24] hours.</w:t>
      </w:r>
    </w:p>
    <w:p>
      <w:r>
        <w:t>9. Audit. [Hospital name] may audit live content and campaign settings at any time.</w:t>
      </w:r>
    </w:p>
    <w:p>
      <w:r>
        <w:t>10. Indemnity. The Agency shall indemnify [hospital name] for losses arising from the Agency's breach of these clauses.</w:t>
      </w:r>
    </w:p>
    <w:p>
      <w:r>
        <w:rPr>
          <w:color w:val="777777"/>
          <w:sz w:val="17"/>
        </w:rPr>
        <w:t>Source: gauravphogat.com/templates/. A marketer's template, not legal advice. Have your legal and medical teams review before use.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